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eastAsia="zh-CN"/>
        </w:rPr>
      </w:pPr>
      <w:r>
        <w:rPr>
          <w:rFonts w:ascii="Arial" w:hAnsi="Arial" w:cs="Arial"/>
          <w:b/>
          <w:sz w:val="24"/>
        </w:rPr>
        <w:t>3GPP TSG-RAN WG4 Meeting #100-e</w:t>
      </w:r>
      <w:r>
        <w:rPr>
          <w:rFonts w:ascii="Arial" w:hAnsi="Arial" w:eastAsia="MS Mincho"/>
          <w:b/>
          <w:sz w:val="24"/>
        </w:rPr>
        <w:tab/>
      </w:r>
      <w:r>
        <w:rPr>
          <w:rFonts w:hint="eastAsia" w:ascii="Arial" w:hAnsi="Arial"/>
          <w:b/>
          <w:sz w:val="24"/>
          <w:lang w:eastAsia="zh-CN"/>
        </w:rPr>
        <w:t>R4-2113199</w:t>
      </w:r>
      <w:bookmarkStart w:id="0" w:name="_GoBack"/>
      <w:bookmarkEnd w:id="0"/>
    </w:p>
    <w:p>
      <w:pPr>
        <w:tabs>
          <w:tab w:val="left" w:pos="3106"/>
          <w:tab w:val="center" w:pos="4536"/>
          <w:tab w:val="right" w:pos="9072"/>
        </w:tabs>
        <w:jc w:val="both"/>
        <w:rPr>
          <w:rFonts w:ascii="Arial" w:hAnsi="Arial" w:eastAsia="宋体"/>
          <w:b/>
          <w:sz w:val="24"/>
          <w:lang w:val="en-GB" w:eastAsia="zh-CN"/>
        </w:rPr>
      </w:pPr>
      <w:r>
        <w:rPr>
          <w:rFonts w:ascii="Arial" w:hAnsi="Arial" w:eastAsia="宋体" w:cs="Arial"/>
          <w:b/>
          <w:sz w:val="24"/>
          <w:lang w:eastAsia="zh-CN"/>
        </w:rPr>
        <w:t>Electronic Meeting, August 16-27,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spacing w:after="120"/>
        <w:ind w:left="1985" w:hanging="1985"/>
        <w:rPr>
          <w:rFonts w:ascii="Arial" w:hAnsi="Arial" w:eastAsia="MS Mincho"/>
          <w:b/>
          <w:sz w:val="24"/>
          <w:lang w:eastAsia="zh-CN"/>
        </w:rPr>
      </w:pPr>
      <w:r>
        <w:rPr>
          <w:rFonts w:ascii="Arial" w:hAnsi="Arial" w:eastAsia="MS Mincho"/>
          <w:b/>
          <w:sz w:val="24"/>
        </w:rPr>
        <w:t>Title:</w:t>
      </w:r>
      <w:r>
        <w:rPr>
          <w:rFonts w:hint="eastAsia" w:ascii="Arial" w:hAnsi="Arial" w:eastAsiaTheme="minorEastAsia"/>
          <w:b/>
          <w:sz w:val="24"/>
          <w:lang w:eastAsia="zh-CN"/>
        </w:rPr>
        <w:t xml:space="preserve">          </w:t>
      </w:r>
      <w:r>
        <w:rPr>
          <w:rFonts w:hint="eastAsia" w:ascii="Arial" w:hAnsi="Arial" w:eastAsia="MS Mincho"/>
          <w:b/>
          <w:sz w:val="24"/>
          <w:lang w:eastAsia="zh-CN"/>
        </w:rPr>
        <w:t>Timing enhancement for eIAB</w:t>
      </w:r>
    </w:p>
    <w:p>
      <w:pPr>
        <w:pStyle w:val="14"/>
        <w:tabs>
          <w:tab w:val="left" w:pos="1800"/>
          <w:tab w:val="left" w:pos="3825"/>
          <w:tab w:val="clear" w:pos="4536"/>
          <w:tab w:val="clear" w:pos="9072"/>
        </w:tabs>
        <w:spacing w:after="60"/>
        <w:jc w:val="both"/>
        <w:rPr>
          <w:rFonts w:eastAsia="宋体"/>
          <w:sz w:val="24"/>
          <w:lang w:val="en-US" w:eastAsia="zh-CN"/>
        </w:rPr>
      </w:pPr>
      <w:r>
        <w:rPr>
          <w:sz w:val="24"/>
          <w:lang w:val="sv-SE"/>
        </w:rPr>
        <w:t>Agenda Item:</w:t>
      </w:r>
      <w:r>
        <w:rPr>
          <w:sz w:val="24"/>
          <w:lang w:val="sv-SE"/>
        </w:rPr>
        <w:tab/>
      </w:r>
      <w:r>
        <w:rPr>
          <w:rFonts w:hint="eastAsia" w:eastAsia="宋体"/>
          <w:sz w:val="24"/>
          <w:lang w:val="en-US" w:eastAsia="zh-CN"/>
        </w:rPr>
        <w:t>9.17.2.2</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Based on the WF</w:t>
      </w:r>
      <w:r>
        <w:rPr>
          <w:rFonts w:eastAsia="宋体"/>
          <w:szCs w:val="20"/>
          <w:lang w:val="en-US" w:eastAsia="zh-CN"/>
        </w:rPr>
        <w:t xml:space="preserve"> [1]</w:t>
      </w:r>
      <w:r>
        <w:rPr>
          <w:rFonts w:hint="eastAsia" w:eastAsia="宋体"/>
          <w:szCs w:val="20"/>
          <w:lang w:val="en-US" w:eastAsia="zh-CN"/>
        </w:rPr>
        <w:t xml:space="preserve"> last meeting</w:t>
      </w:r>
      <w:r>
        <w:rPr>
          <w:rFonts w:eastAsia="宋体"/>
          <w:szCs w:val="20"/>
          <w:lang w:val="en-US" w:eastAsia="zh-CN"/>
        </w:rPr>
        <w:t xml:space="preserve">, </w:t>
      </w:r>
      <w:r>
        <w:rPr>
          <w:rFonts w:hint="eastAsia" w:eastAsia="宋体"/>
          <w:szCs w:val="20"/>
          <w:lang w:val="en-US" w:eastAsia="zh-CN"/>
        </w:rPr>
        <w:t xml:space="preserve">the issue of timing of IAB needs further discussion </w:t>
      </w:r>
      <w:r>
        <w:rPr>
          <w:rFonts w:eastAsia="宋体"/>
          <w:szCs w:val="20"/>
          <w:lang w:val="en-US" w:eastAsia="zh-CN"/>
        </w:rPr>
        <w:t>.</w:t>
      </w:r>
    </w:p>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contribution, we analyze the IAB timing issues for case-6.</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eastAsia="zh-CN"/>
        </w:rPr>
        <w:t>Discussion</w:t>
      </w:r>
    </w:p>
    <w:p>
      <w:pPr>
        <w:pStyle w:val="3"/>
        <w:tabs>
          <w:tab w:val="left" w:pos="226"/>
          <w:tab w:val="left" w:pos="284"/>
          <w:tab w:val="left" w:pos="5103"/>
        </w:tabs>
        <w:snapToGrid w:val="0"/>
        <w:jc w:val="left"/>
        <w:rPr>
          <w:rFonts w:eastAsia="宋体"/>
          <w:bCs/>
          <w:szCs w:val="20"/>
          <w:lang w:val="en-US" w:eastAsia="zh-CN"/>
        </w:rPr>
      </w:pPr>
      <w:r>
        <w:rPr>
          <w:rFonts w:hint="eastAsia" w:eastAsia="宋体"/>
          <w:bCs/>
          <w:szCs w:val="20"/>
          <w:lang w:val="en-US" w:eastAsia="zh-CN"/>
        </w:rPr>
        <w:t>In RAN 4#99-e meeting the agreement about Case-6 timing is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6" w:type="dxa"/>
          </w:tcPr>
          <w:p>
            <w:pPr>
              <w:adjustRightInd w:val="0"/>
              <w:snapToGrid w:val="0"/>
              <w:spacing w:line="240" w:lineRule="auto"/>
              <w:rPr>
                <w:b/>
                <w:szCs w:val="20"/>
                <w:lang w:val="en-GB"/>
              </w:rPr>
            </w:pPr>
            <w:r>
              <w:rPr>
                <w:b/>
                <w:szCs w:val="20"/>
                <w:highlight w:val="green"/>
                <w:lang w:val="en-GB"/>
              </w:rPr>
              <w:t>Agreement:</w:t>
            </w:r>
          </w:p>
          <w:p>
            <w:pPr>
              <w:adjustRightInd w:val="0"/>
              <w:snapToGrid w:val="0"/>
              <w:spacing w:line="240" w:lineRule="auto"/>
              <w:rPr>
                <w:rFonts w:eastAsia="宋体"/>
                <w:color w:val="000000" w:themeColor="text1"/>
                <w:szCs w:val="20"/>
              </w:rPr>
            </w:pPr>
            <w:r>
              <w:rPr>
                <w:rFonts w:eastAsia="宋体"/>
                <w:color w:val="000000" w:themeColor="text1"/>
                <w:szCs w:val="20"/>
              </w:rPr>
              <w:t xml:space="preserve">No RF requirement impact identified for IAB which supports timing case#6 except TAE </w:t>
            </w:r>
          </w:p>
          <w:p>
            <w:pPr>
              <w:adjustRightInd w:val="0"/>
              <w:snapToGrid w:val="0"/>
              <w:spacing w:line="240" w:lineRule="auto"/>
              <w:rPr>
                <w:szCs w:val="20"/>
              </w:rPr>
            </w:pPr>
            <w:r>
              <w:rPr>
                <w:b/>
                <w:szCs w:val="20"/>
              </w:rPr>
              <w:t>Way forward</w:t>
            </w:r>
            <w:r>
              <w:rPr>
                <w:szCs w:val="20"/>
              </w:rPr>
              <w:t>:</w:t>
            </w:r>
          </w:p>
          <w:p>
            <w:pPr>
              <w:pStyle w:val="30"/>
              <w:numPr>
                <w:ilvl w:val="0"/>
                <w:numId w:val="4"/>
              </w:numPr>
              <w:adjustRightInd w:val="0"/>
              <w:snapToGrid w:val="0"/>
              <w:spacing w:after="120" w:line="240" w:lineRule="auto"/>
              <w:ind w:firstLine="400"/>
              <w:rPr>
                <w:rFonts w:ascii="Times New Roman" w:hAnsi="Times New Roman"/>
                <w:color w:val="000000" w:themeColor="text1"/>
                <w:sz w:val="20"/>
                <w:szCs w:val="20"/>
              </w:rPr>
            </w:pPr>
            <w:r>
              <w:rPr>
                <w:rFonts w:ascii="Times New Roman" w:hAnsi="Times New Roman"/>
                <w:color w:val="000000" w:themeColor="text1"/>
                <w:sz w:val="20"/>
                <w:szCs w:val="20"/>
              </w:rPr>
              <w:t>Regarding implication on donor BS and parent IAB: postpone the discussion for RAN1 input</w:t>
            </w:r>
          </w:p>
          <w:p>
            <w:pPr>
              <w:pStyle w:val="30"/>
              <w:numPr>
                <w:ilvl w:val="0"/>
                <w:numId w:val="4"/>
              </w:numPr>
              <w:adjustRightInd w:val="0"/>
              <w:snapToGrid w:val="0"/>
              <w:spacing w:after="120" w:line="240" w:lineRule="auto"/>
              <w:ind w:firstLine="400"/>
              <w:rPr>
                <w:rFonts w:ascii="Times New Roman" w:hAnsi="Times New Roman" w:eastAsia="Malgun Gothic"/>
                <w:b/>
                <w:color w:val="000000" w:themeColor="text1"/>
                <w:sz w:val="20"/>
                <w:szCs w:val="20"/>
                <w:lang w:eastAsia="ko-KR"/>
              </w:rPr>
            </w:pPr>
            <w:r>
              <w:rPr>
                <w:rFonts w:ascii="Times New Roman" w:hAnsi="Times New Roman"/>
                <w:color w:val="000000" w:themeColor="text1"/>
                <w:sz w:val="20"/>
                <w:szCs w:val="20"/>
              </w:rPr>
              <w:t xml:space="preserve">Regarding the TAE within IAB: FFS whether TAE between MT UL TX and DU DL TX needs to be defined </w:t>
            </w:r>
          </w:p>
          <w:p>
            <w:pPr>
              <w:adjustRightInd w:val="0"/>
              <w:snapToGrid w:val="0"/>
              <w:spacing w:after="120" w:line="240" w:lineRule="auto"/>
              <w:rPr>
                <w:color w:val="000000" w:themeColor="text1"/>
                <w:szCs w:val="20"/>
              </w:rPr>
            </w:pPr>
            <w:r>
              <w:rPr>
                <w:color w:val="000000" w:themeColor="text1"/>
                <w:szCs w:val="20"/>
              </w:rPr>
              <w:t>Note: the TX power imbalance is merged in discussion on Simultaneous operation of IAB-node’s child and parent links by FDM.</w:t>
            </w:r>
          </w:p>
        </w:tc>
      </w:tr>
    </w:tbl>
    <w:p>
      <w:pPr>
        <w:pStyle w:val="3"/>
        <w:tabs>
          <w:tab w:val="left" w:pos="226"/>
          <w:tab w:val="left" w:pos="284"/>
          <w:tab w:val="left" w:pos="5103"/>
        </w:tabs>
        <w:adjustRightInd w:val="0"/>
        <w:snapToGrid w:val="0"/>
        <w:spacing w:line="240" w:lineRule="auto"/>
        <w:jc w:val="left"/>
        <w:rPr>
          <w:rFonts w:eastAsia="宋体"/>
          <w:bCs/>
          <w:szCs w:val="20"/>
          <w:lang w:val="en-US" w:eastAsia="zh-CN"/>
        </w:rPr>
      </w:pPr>
      <w:r>
        <w:rPr>
          <w:rFonts w:eastAsia="宋体"/>
          <w:bCs/>
          <w:szCs w:val="20"/>
          <w:lang w:val="en-US" w:eastAsia="zh-CN"/>
        </w:rPr>
        <w:t>In RAN 1#105-e meeting the agreement about Case-6 timing is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adjustRightInd w:val="0"/>
              <w:snapToGrid w:val="0"/>
              <w:spacing w:line="240" w:lineRule="auto"/>
              <w:rPr>
                <w:b/>
                <w:bCs/>
                <w:szCs w:val="20"/>
                <w:highlight w:val="yellow"/>
              </w:rPr>
            </w:pPr>
            <w:r>
              <w:rPr>
                <w:b/>
                <w:bCs/>
                <w:szCs w:val="20"/>
                <w:highlight w:val="green"/>
              </w:rPr>
              <w:t>Agreement</w:t>
            </w:r>
          </w:p>
          <w:p>
            <w:pPr>
              <w:adjustRightInd w:val="0"/>
              <w:snapToGrid w:val="0"/>
              <w:spacing w:line="240" w:lineRule="auto"/>
              <w:rPr>
                <w:bCs/>
                <w:color w:val="000000"/>
                <w:szCs w:val="20"/>
              </w:rPr>
            </w:pPr>
            <w:r>
              <w:rPr>
                <w:bCs/>
                <w:color w:val="000000"/>
                <w:szCs w:val="20"/>
              </w:rPr>
              <w:t>RAN1 to downselect how the IAB-MT Tx timing is set for Case 6 timing at a given IAB-node:</w:t>
            </w:r>
          </w:p>
          <w:p>
            <w:pPr>
              <w:pStyle w:val="30"/>
              <w:numPr>
                <w:ilvl w:val="0"/>
                <w:numId w:val="5"/>
              </w:numPr>
              <w:adjustRightInd w:val="0"/>
              <w:snapToGrid w:val="0"/>
              <w:spacing w:line="240" w:lineRule="auto"/>
              <w:ind w:firstLine="400"/>
              <w:contextualSpacing/>
              <w:textAlignment w:val="baseline"/>
              <w:rPr>
                <w:rFonts w:ascii="Times New Roman" w:hAnsi="Times New Roman"/>
                <w:sz w:val="20"/>
                <w:szCs w:val="20"/>
              </w:rPr>
            </w:pPr>
            <w:r>
              <w:rPr>
                <w:rFonts w:ascii="Times New Roman" w:hAnsi="Times New Roman"/>
                <w:sz w:val="20"/>
                <w:szCs w:val="20"/>
              </w:rPr>
              <w:t>Alt1: the IAB-MT Tx timing is obtained by the node via the legacy TA loop plus an offset from the parent node.</w:t>
            </w:r>
          </w:p>
          <w:p>
            <w:pPr>
              <w:pStyle w:val="30"/>
              <w:numPr>
                <w:ilvl w:val="1"/>
                <w:numId w:val="5"/>
              </w:numPr>
              <w:adjustRightInd w:val="0"/>
              <w:snapToGrid w:val="0"/>
              <w:spacing w:line="240" w:lineRule="auto"/>
              <w:ind w:firstLine="400"/>
              <w:contextualSpacing/>
              <w:textAlignment w:val="baseline"/>
              <w:rPr>
                <w:rFonts w:ascii="Times New Roman" w:hAnsi="Times New Roman"/>
                <w:sz w:val="20"/>
                <w:szCs w:val="20"/>
              </w:rPr>
            </w:pPr>
            <w:r>
              <w:rPr>
                <w:rFonts w:ascii="Times New Roman" w:hAnsi="Times New Roman"/>
                <w:sz w:val="20"/>
                <w:szCs w:val="20"/>
              </w:rPr>
              <w:t>FFS details of the required offset.</w:t>
            </w:r>
          </w:p>
          <w:p>
            <w:pPr>
              <w:pStyle w:val="30"/>
              <w:numPr>
                <w:ilvl w:val="0"/>
                <w:numId w:val="5"/>
              </w:numPr>
              <w:adjustRightInd w:val="0"/>
              <w:snapToGrid w:val="0"/>
              <w:spacing w:line="240" w:lineRule="auto"/>
              <w:ind w:firstLine="400"/>
              <w:contextualSpacing/>
              <w:textAlignment w:val="baseline"/>
              <w:rPr>
                <w:rFonts w:ascii="Times New Roman" w:hAnsi="Times New Roman"/>
                <w:sz w:val="20"/>
                <w:szCs w:val="20"/>
              </w:rPr>
            </w:pPr>
            <w:r>
              <w:rPr>
                <w:rFonts w:ascii="Times New Roman" w:hAnsi="Times New Roman"/>
                <w:sz w:val="20"/>
                <w:szCs w:val="20"/>
              </w:rPr>
              <w:t>Alt2: the IAB-MT Tx timing is set by the node to the timing obtained for the node’s DL Tx.</w:t>
            </w:r>
          </w:p>
          <w:p>
            <w:pPr>
              <w:pStyle w:val="30"/>
              <w:numPr>
                <w:ilvl w:val="0"/>
                <w:numId w:val="5"/>
              </w:numPr>
              <w:adjustRightInd w:val="0"/>
              <w:snapToGrid w:val="0"/>
              <w:spacing w:line="240" w:lineRule="auto"/>
              <w:ind w:firstLine="400"/>
              <w:contextualSpacing/>
              <w:textAlignment w:val="baseline"/>
              <w:rPr>
                <w:rFonts w:ascii="Times New Roman" w:hAnsi="Times New Roman"/>
                <w:sz w:val="20"/>
                <w:szCs w:val="20"/>
              </w:rPr>
            </w:pPr>
            <w:r>
              <w:rPr>
                <w:rFonts w:ascii="Times New Roman" w:hAnsi="Times New Roman"/>
                <w:sz w:val="20"/>
                <w:szCs w:val="20"/>
              </w:rPr>
              <w:t>Alt3: the IAB-MT Tx timing is obtained by the node jointly with the IAB-DU Tx timing via a common offset from the parent node.</w:t>
            </w:r>
          </w:p>
          <w:p>
            <w:pPr>
              <w:adjustRightInd w:val="0"/>
              <w:snapToGrid w:val="0"/>
              <w:spacing w:line="240" w:lineRule="auto"/>
              <w:rPr>
                <w:bCs/>
                <w:szCs w:val="20"/>
                <w:lang w:eastAsia="zh-CN"/>
              </w:rPr>
            </w:pPr>
            <w:r>
              <w:rPr>
                <w:bCs/>
                <w:szCs w:val="20"/>
                <w:lang w:eastAsia="zh-CN"/>
              </w:rPr>
              <w:t>Downselection to consider at least the following aspects:</w:t>
            </w:r>
          </w:p>
          <w:p>
            <w:pPr>
              <w:pStyle w:val="30"/>
              <w:numPr>
                <w:ilvl w:val="0"/>
                <w:numId w:val="5"/>
              </w:numPr>
              <w:adjustRightInd w:val="0"/>
              <w:snapToGrid w:val="0"/>
              <w:spacing w:line="240" w:lineRule="auto"/>
              <w:ind w:firstLine="400"/>
              <w:contextualSpacing/>
              <w:textAlignment w:val="baseline"/>
              <w:rPr>
                <w:rFonts w:ascii="Times New Roman" w:hAnsi="Times New Roman"/>
                <w:sz w:val="20"/>
                <w:szCs w:val="20"/>
              </w:rPr>
            </w:pPr>
            <w:r>
              <w:rPr>
                <w:rFonts w:ascii="Times New Roman" w:hAnsi="Times New Roman"/>
                <w:sz w:val="20"/>
                <w:szCs w:val="20"/>
              </w:rPr>
              <w:t>Dependency of DL synchronization schemes at the IAB-DU</w:t>
            </w:r>
          </w:p>
          <w:p>
            <w:pPr>
              <w:pStyle w:val="30"/>
              <w:numPr>
                <w:ilvl w:val="0"/>
                <w:numId w:val="5"/>
              </w:numPr>
              <w:adjustRightInd w:val="0"/>
              <w:snapToGrid w:val="0"/>
              <w:spacing w:line="240" w:lineRule="auto"/>
              <w:ind w:firstLine="400"/>
              <w:contextualSpacing/>
              <w:textAlignment w:val="baseline"/>
              <w:rPr>
                <w:rFonts w:ascii="Times New Roman" w:hAnsi="Times New Roman"/>
                <w:sz w:val="20"/>
                <w:szCs w:val="20"/>
              </w:rPr>
            </w:pPr>
            <w:r>
              <w:rPr>
                <w:rFonts w:ascii="Times New Roman" w:hAnsi="Times New Roman"/>
                <w:sz w:val="20"/>
                <w:szCs w:val="20"/>
              </w:rPr>
              <w:t>Potential additional signaling overhead.</w:t>
            </w:r>
          </w:p>
          <w:p>
            <w:pPr>
              <w:pStyle w:val="30"/>
              <w:numPr>
                <w:ilvl w:val="0"/>
                <w:numId w:val="5"/>
              </w:numPr>
              <w:adjustRightInd w:val="0"/>
              <w:snapToGrid w:val="0"/>
              <w:spacing w:line="240" w:lineRule="auto"/>
              <w:ind w:firstLine="400"/>
              <w:contextualSpacing/>
              <w:textAlignment w:val="baseline"/>
              <w:rPr>
                <w:rFonts w:ascii="Times New Roman" w:hAnsi="Times New Roman"/>
                <w:sz w:val="20"/>
                <w:szCs w:val="20"/>
              </w:rPr>
            </w:pPr>
            <w:r>
              <w:rPr>
                <w:rFonts w:ascii="Times New Roman" w:hAnsi="Times New Roman"/>
                <w:sz w:val="20"/>
                <w:szCs w:val="20"/>
              </w:rPr>
              <w:t>Achievable DU Tx / MT Tx alignment error tolerance.</w:t>
            </w:r>
          </w:p>
          <w:p>
            <w:pPr>
              <w:pStyle w:val="30"/>
              <w:numPr>
                <w:ilvl w:val="0"/>
                <w:numId w:val="5"/>
              </w:numPr>
              <w:adjustRightInd w:val="0"/>
              <w:snapToGrid w:val="0"/>
              <w:spacing w:line="240" w:lineRule="auto"/>
              <w:ind w:firstLine="400"/>
              <w:contextualSpacing/>
              <w:textAlignment w:val="baseline"/>
              <w:rPr>
                <w:rFonts w:ascii="Times New Roman" w:hAnsi="Times New Roman"/>
                <w:bCs/>
                <w:sz w:val="20"/>
                <w:szCs w:val="20"/>
              </w:rPr>
            </w:pPr>
            <w:r>
              <w:rPr>
                <w:rFonts w:ascii="Times New Roman" w:hAnsi="Times New Roman"/>
                <w:sz w:val="20"/>
                <w:szCs w:val="20"/>
              </w:rPr>
              <w:t>Suitability for switching between timing modes.</w:t>
            </w:r>
          </w:p>
        </w:tc>
      </w:tr>
    </w:tbl>
    <w:p>
      <w:pPr>
        <w:pStyle w:val="3"/>
        <w:tabs>
          <w:tab w:val="left" w:pos="226"/>
          <w:tab w:val="left" w:pos="284"/>
          <w:tab w:val="left" w:pos="5103"/>
        </w:tabs>
        <w:snapToGrid w:val="0"/>
        <w:jc w:val="left"/>
        <w:rPr>
          <w:rFonts w:eastAsia="宋体"/>
          <w:color w:val="000000" w:themeColor="text1"/>
          <w:kern w:val="2"/>
          <w:szCs w:val="20"/>
          <w:lang w:val="en-US" w:eastAsia="zh-CN"/>
        </w:rPr>
      </w:pPr>
      <w:r>
        <w:rPr>
          <w:rFonts w:hint="eastAsia" w:eastAsia="宋体"/>
          <w:bCs/>
          <w:szCs w:val="20"/>
          <w:lang w:val="en-US" w:eastAsia="zh-CN"/>
        </w:rPr>
        <w:t xml:space="preserve">From above agreements of RAN 1# 105-e meeting, we can find that the UL Tx timing was not reached. So the implication </w:t>
      </w:r>
      <w:r>
        <w:rPr>
          <w:rFonts w:eastAsia="宋体"/>
          <w:color w:val="000000" w:themeColor="text1"/>
          <w:kern w:val="2"/>
          <w:szCs w:val="20"/>
          <w:lang w:val="en-US" w:eastAsia="zh-CN"/>
        </w:rPr>
        <w:t>on donor BS and parent IAB</w:t>
      </w:r>
      <w:r>
        <w:rPr>
          <w:rFonts w:hint="eastAsia" w:eastAsia="宋体"/>
          <w:color w:val="000000" w:themeColor="text1"/>
          <w:kern w:val="2"/>
          <w:szCs w:val="20"/>
          <w:lang w:val="en-US" w:eastAsia="zh-CN"/>
        </w:rPr>
        <w:t xml:space="preserve"> can be postponed for RAN 1 conclusion.</w:t>
      </w:r>
    </w:p>
    <w:p>
      <w:pPr>
        <w:pStyle w:val="3"/>
        <w:tabs>
          <w:tab w:val="left" w:pos="226"/>
          <w:tab w:val="left" w:pos="284"/>
          <w:tab w:val="left" w:pos="5103"/>
        </w:tabs>
        <w:snapToGrid w:val="0"/>
        <w:jc w:val="left"/>
        <w:rPr>
          <w:rFonts w:eastAsia="宋体"/>
          <w:color w:val="000000" w:themeColor="text1"/>
          <w:kern w:val="2"/>
          <w:szCs w:val="20"/>
          <w:lang w:val="en-US" w:eastAsia="zh-CN"/>
        </w:rPr>
      </w:pPr>
      <w:r>
        <w:rPr>
          <w:rFonts w:hint="eastAsia" w:eastAsia="宋体"/>
          <w:color w:val="000000" w:themeColor="text1"/>
          <w:kern w:val="2"/>
          <w:szCs w:val="20"/>
          <w:lang w:val="en-US" w:eastAsia="zh-CN"/>
        </w:rPr>
        <w:t xml:space="preserve">With regard to TAE </w:t>
      </w:r>
      <w:r>
        <w:rPr>
          <w:rFonts w:eastAsia="宋体"/>
          <w:color w:val="000000" w:themeColor="text1"/>
          <w:kern w:val="2"/>
          <w:szCs w:val="20"/>
          <w:lang w:val="en-US" w:eastAsia="zh-CN"/>
        </w:rPr>
        <w:t>between MT UL TX and DU DL TX</w:t>
      </w:r>
      <w:r>
        <w:rPr>
          <w:rFonts w:hint="eastAsia" w:eastAsia="宋体"/>
          <w:color w:val="000000" w:themeColor="text1"/>
          <w:kern w:val="2"/>
          <w:szCs w:val="20"/>
          <w:lang w:val="en-US" w:eastAsia="zh-CN"/>
        </w:rPr>
        <w:t>, the options listed in RAN1 agreement may have different considerations for TAE. For example, when Alt1 is adopted, the UL Tx timing is still controlled by parent node or donor BS, the TAE may not affect the behavior of the parent node; when Alt2 is adopted, the UL Tx timing of IAB-MT is wished to align with the DL Tx timing of the co-located IAB-DU and the TAE may need to be clarified to ensure the behavior of the parent node.</w:t>
      </w:r>
    </w:p>
    <w:p>
      <w:pPr>
        <w:pStyle w:val="3"/>
        <w:tabs>
          <w:tab w:val="left" w:pos="226"/>
          <w:tab w:val="left" w:pos="284"/>
          <w:tab w:val="left" w:pos="5103"/>
        </w:tabs>
        <w:snapToGrid w:val="0"/>
        <w:jc w:val="left"/>
        <w:rPr>
          <w:rFonts w:eastAsia="宋体"/>
          <w:b/>
          <w:bCs/>
          <w:szCs w:val="20"/>
          <w:lang w:val="en-US" w:eastAsia="zh-CN"/>
        </w:rPr>
      </w:pPr>
      <w:r>
        <w:rPr>
          <w:rFonts w:hint="eastAsia" w:eastAsia="宋体"/>
          <w:b/>
          <w:bCs/>
          <w:szCs w:val="20"/>
          <w:lang w:val="en-US" w:eastAsia="zh-CN"/>
        </w:rPr>
        <w:t>Proposal 1: To postpone the discussion of TAE between MT UL TX and DU DL TX for RAN 1 input.</w:t>
      </w:r>
    </w:p>
    <w:p>
      <w:pPr>
        <w:spacing w:after="0" w:line="240" w:lineRule="auto"/>
        <w:rPr>
          <w:rFonts w:eastAsia="宋体"/>
          <w:b/>
          <w:bCs/>
          <w:szCs w:val="20"/>
          <w:lang w:eastAsia="zh-CN"/>
        </w:rPr>
      </w:pPr>
      <w:r>
        <w:rPr>
          <w:rFonts w:eastAsia="宋体"/>
          <w:b/>
          <w:bCs/>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suppressAutoHyphens/>
        <w:spacing w:after="80" w:line="260" w:lineRule="auto"/>
        <w:rPr>
          <w:rFonts w:eastAsia="宋体"/>
          <w:color w:val="000000" w:themeColor="text1"/>
          <w:kern w:val="2"/>
          <w:szCs w:val="20"/>
          <w:lang w:eastAsia="zh-CN"/>
        </w:rPr>
      </w:pPr>
      <w:r>
        <w:rPr>
          <w:rFonts w:hint="eastAsia" w:eastAsia="宋体"/>
          <w:color w:val="000000" w:themeColor="text1"/>
          <w:kern w:val="2"/>
          <w:szCs w:val="20"/>
          <w:lang w:eastAsia="zh-CN"/>
        </w:rPr>
        <w:t>Based on the analysis, the following proposals are given:</w:t>
      </w:r>
    </w:p>
    <w:p>
      <w:pPr>
        <w:pStyle w:val="3"/>
        <w:tabs>
          <w:tab w:val="left" w:pos="226"/>
          <w:tab w:val="left" w:pos="284"/>
          <w:tab w:val="left" w:pos="5103"/>
        </w:tabs>
        <w:snapToGrid w:val="0"/>
        <w:jc w:val="left"/>
        <w:rPr>
          <w:rFonts w:eastAsia="宋体"/>
          <w:b/>
          <w:bCs/>
          <w:szCs w:val="20"/>
          <w:lang w:val="en-US" w:eastAsia="zh-CN"/>
        </w:rPr>
      </w:pPr>
      <w:r>
        <w:rPr>
          <w:rFonts w:hint="eastAsia" w:eastAsia="宋体"/>
          <w:b/>
          <w:bCs/>
          <w:szCs w:val="20"/>
          <w:lang w:val="en-US" w:eastAsia="zh-CN"/>
        </w:rPr>
        <w:t>Proposal 1: To postpone the discussion of TAE between MT UL TX and DU DL TX for RAN 1 input.</w:t>
      </w:r>
    </w:p>
    <w:p>
      <w:pPr>
        <w:spacing w:after="0" w:line="240" w:lineRule="auto"/>
        <w:rPr>
          <w:rFonts w:eastAsia="宋体"/>
          <w:b/>
          <w:bCs/>
          <w:szCs w:val="20"/>
          <w:lang w:eastAsia="zh-CN"/>
        </w:rPr>
      </w:pPr>
      <w:r>
        <w:rPr>
          <w:rFonts w:eastAsia="宋体"/>
          <w:b/>
          <w:bCs/>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pPr>
      <w:r>
        <w:rPr>
          <w:rFonts w:hint="eastAsia"/>
          <w:lang w:val="en-US"/>
        </w:rPr>
        <w:t>R4-2108637 WF for FR2 HST Demodulation</w:t>
      </w:r>
    </w:p>
    <w:p>
      <w:pPr>
        <w:pStyle w:val="9"/>
        <w:numPr>
          <w:ilvl w:val="0"/>
          <w:numId w:val="0"/>
        </w:num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3CA4CEA"/>
    <w:multiLevelType w:val="multilevel"/>
    <w:tmpl w:val="43CA4CEA"/>
    <w:lvl w:ilvl="0" w:tentative="0">
      <w:start w:val="8"/>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76C3584A"/>
    <w:multiLevelType w:val="multilevel"/>
    <w:tmpl w:val="76C358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2C8"/>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0E91"/>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45F2"/>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2F50B4"/>
    <w:rsid w:val="018B3BAA"/>
    <w:rsid w:val="01E671C2"/>
    <w:rsid w:val="02065A2E"/>
    <w:rsid w:val="02626E3D"/>
    <w:rsid w:val="0298367A"/>
    <w:rsid w:val="02D254EC"/>
    <w:rsid w:val="02FE5F82"/>
    <w:rsid w:val="031F202C"/>
    <w:rsid w:val="032D5AEE"/>
    <w:rsid w:val="03AB67DC"/>
    <w:rsid w:val="043D2559"/>
    <w:rsid w:val="0478015E"/>
    <w:rsid w:val="05141F76"/>
    <w:rsid w:val="05510DD1"/>
    <w:rsid w:val="062A620F"/>
    <w:rsid w:val="064B00B0"/>
    <w:rsid w:val="06654A0B"/>
    <w:rsid w:val="06823D8F"/>
    <w:rsid w:val="07507D1F"/>
    <w:rsid w:val="07622262"/>
    <w:rsid w:val="07905D4F"/>
    <w:rsid w:val="07CA2591"/>
    <w:rsid w:val="07CD3CDD"/>
    <w:rsid w:val="07E54DAB"/>
    <w:rsid w:val="087B66E7"/>
    <w:rsid w:val="09341D09"/>
    <w:rsid w:val="09674661"/>
    <w:rsid w:val="097E672F"/>
    <w:rsid w:val="09825F02"/>
    <w:rsid w:val="09AB6C45"/>
    <w:rsid w:val="0A731B50"/>
    <w:rsid w:val="0A7D607C"/>
    <w:rsid w:val="0B802D0D"/>
    <w:rsid w:val="0BF41031"/>
    <w:rsid w:val="0C953742"/>
    <w:rsid w:val="0D744565"/>
    <w:rsid w:val="0D7F564D"/>
    <w:rsid w:val="0D835665"/>
    <w:rsid w:val="0DE052FE"/>
    <w:rsid w:val="0E3330D0"/>
    <w:rsid w:val="0E941E12"/>
    <w:rsid w:val="0F11785B"/>
    <w:rsid w:val="0F2522E6"/>
    <w:rsid w:val="0F372967"/>
    <w:rsid w:val="0F3C7751"/>
    <w:rsid w:val="0F726903"/>
    <w:rsid w:val="0FDA7DDA"/>
    <w:rsid w:val="10112E0A"/>
    <w:rsid w:val="107A2E2E"/>
    <w:rsid w:val="116357E0"/>
    <w:rsid w:val="120639A8"/>
    <w:rsid w:val="121C451F"/>
    <w:rsid w:val="125D4125"/>
    <w:rsid w:val="12E407E9"/>
    <w:rsid w:val="12ED0CED"/>
    <w:rsid w:val="13583391"/>
    <w:rsid w:val="136B35BC"/>
    <w:rsid w:val="137F4008"/>
    <w:rsid w:val="13F672DD"/>
    <w:rsid w:val="144E5CD4"/>
    <w:rsid w:val="15E12A88"/>
    <w:rsid w:val="15E95672"/>
    <w:rsid w:val="16271D63"/>
    <w:rsid w:val="16BD2FB9"/>
    <w:rsid w:val="16E7731D"/>
    <w:rsid w:val="17F838EF"/>
    <w:rsid w:val="19607D81"/>
    <w:rsid w:val="1A5918B7"/>
    <w:rsid w:val="1AA54D0B"/>
    <w:rsid w:val="1C3672FA"/>
    <w:rsid w:val="1D186F9D"/>
    <w:rsid w:val="1D1A62B9"/>
    <w:rsid w:val="1D7024D4"/>
    <w:rsid w:val="1DA251E1"/>
    <w:rsid w:val="1DA93704"/>
    <w:rsid w:val="1EA028D9"/>
    <w:rsid w:val="1F4325C8"/>
    <w:rsid w:val="1F595BBB"/>
    <w:rsid w:val="1F7C7957"/>
    <w:rsid w:val="1FD21E35"/>
    <w:rsid w:val="1FE10390"/>
    <w:rsid w:val="1FEE7A9C"/>
    <w:rsid w:val="205164A7"/>
    <w:rsid w:val="216D29AA"/>
    <w:rsid w:val="216D7544"/>
    <w:rsid w:val="21B80AA5"/>
    <w:rsid w:val="21BB4692"/>
    <w:rsid w:val="225216B5"/>
    <w:rsid w:val="22B37446"/>
    <w:rsid w:val="235408E6"/>
    <w:rsid w:val="24715F69"/>
    <w:rsid w:val="24B140D4"/>
    <w:rsid w:val="24F907DC"/>
    <w:rsid w:val="25EF43C8"/>
    <w:rsid w:val="262E08BF"/>
    <w:rsid w:val="263951B2"/>
    <w:rsid w:val="263E55AD"/>
    <w:rsid w:val="26631717"/>
    <w:rsid w:val="27972AF9"/>
    <w:rsid w:val="282D1862"/>
    <w:rsid w:val="28637D74"/>
    <w:rsid w:val="28A96A0F"/>
    <w:rsid w:val="28CE222F"/>
    <w:rsid w:val="28EE7A07"/>
    <w:rsid w:val="29224AE0"/>
    <w:rsid w:val="2AB04251"/>
    <w:rsid w:val="2AEC42E5"/>
    <w:rsid w:val="2B034D47"/>
    <w:rsid w:val="2B1666C3"/>
    <w:rsid w:val="2B6F681F"/>
    <w:rsid w:val="2B893BA3"/>
    <w:rsid w:val="2BC82480"/>
    <w:rsid w:val="2C1A5D63"/>
    <w:rsid w:val="2CA73FE3"/>
    <w:rsid w:val="2CE15438"/>
    <w:rsid w:val="2D812190"/>
    <w:rsid w:val="2DA94150"/>
    <w:rsid w:val="2E1176AC"/>
    <w:rsid w:val="2E296DF7"/>
    <w:rsid w:val="2ECB7AE0"/>
    <w:rsid w:val="2F0E5D72"/>
    <w:rsid w:val="2F322289"/>
    <w:rsid w:val="30571C73"/>
    <w:rsid w:val="316C26E3"/>
    <w:rsid w:val="328D4D87"/>
    <w:rsid w:val="32E95C69"/>
    <w:rsid w:val="33021368"/>
    <w:rsid w:val="33491F36"/>
    <w:rsid w:val="33883009"/>
    <w:rsid w:val="33D438B1"/>
    <w:rsid w:val="3413026A"/>
    <w:rsid w:val="341B5311"/>
    <w:rsid w:val="34EA3595"/>
    <w:rsid w:val="34F31159"/>
    <w:rsid w:val="357D1552"/>
    <w:rsid w:val="35D34EB8"/>
    <w:rsid w:val="36950F43"/>
    <w:rsid w:val="381B5FAC"/>
    <w:rsid w:val="393853EE"/>
    <w:rsid w:val="39861D98"/>
    <w:rsid w:val="39A12E64"/>
    <w:rsid w:val="39DD3B1E"/>
    <w:rsid w:val="39E551C2"/>
    <w:rsid w:val="3A985F9F"/>
    <w:rsid w:val="3ACA79CB"/>
    <w:rsid w:val="3B1D04C9"/>
    <w:rsid w:val="3B342387"/>
    <w:rsid w:val="3B924465"/>
    <w:rsid w:val="3C8B2EA4"/>
    <w:rsid w:val="3CC85F33"/>
    <w:rsid w:val="3D6F2596"/>
    <w:rsid w:val="3E3D115C"/>
    <w:rsid w:val="3E5F1FCC"/>
    <w:rsid w:val="3EBA3F51"/>
    <w:rsid w:val="3ED90D52"/>
    <w:rsid w:val="3EFB0DA2"/>
    <w:rsid w:val="3F4371E9"/>
    <w:rsid w:val="3F5B25E2"/>
    <w:rsid w:val="3FBE5D52"/>
    <w:rsid w:val="403917EB"/>
    <w:rsid w:val="404F7A6B"/>
    <w:rsid w:val="40705D5D"/>
    <w:rsid w:val="40C765F3"/>
    <w:rsid w:val="41256FB7"/>
    <w:rsid w:val="413C2D7C"/>
    <w:rsid w:val="42DE6859"/>
    <w:rsid w:val="43776349"/>
    <w:rsid w:val="44605667"/>
    <w:rsid w:val="44B2766E"/>
    <w:rsid w:val="458F4D24"/>
    <w:rsid w:val="45F60A50"/>
    <w:rsid w:val="46764CBC"/>
    <w:rsid w:val="4853345A"/>
    <w:rsid w:val="490D3059"/>
    <w:rsid w:val="49500FEB"/>
    <w:rsid w:val="496329E5"/>
    <w:rsid w:val="49F32E1B"/>
    <w:rsid w:val="4A0B7057"/>
    <w:rsid w:val="4A280667"/>
    <w:rsid w:val="4A511B6E"/>
    <w:rsid w:val="4A7C4548"/>
    <w:rsid w:val="4B8B6B93"/>
    <w:rsid w:val="4B901389"/>
    <w:rsid w:val="4C69573D"/>
    <w:rsid w:val="4CBF03D6"/>
    <w:rsid w:val="4D513299"/>
    <w:rsid w:val="4DA22392"/>
    <w:rsid w:val="4E9A7FF9"/>
    <w:rsid w:val="4EDF702E"/>
    <w:rsid w:val="4F047884"/>
    <w:rsid w:val="4F813AF7"/>
    <w:rsid w:val="4F8747A0"/>
    <w:rsid w:val="4FBD6EC5"/>
    <w:rsid w:val="4FBF1AB2"/>
    <w:rsid w:val="504E5AC6"/>
    <w:rsid w:val="505076EF"/>
    <w:rsid w:val="50A126C1"/>
    <w:rsid w:val="513C5648"/>
    <w:rsid w:val="51B14BED"/>
    <w:rsid w:val="51D650AA"/>
    <w:rsid w:val="51FA3D86"/>
    <w:rsid w:val="52022698"/>
    <w:rsid w:val="52344052"/>
    <w:rsid w:val="54175BE1"/>
    <w:rsid w:val="5445166E"/>
    <w:rsid w:val="54632332"/>
    <w:rsid w:val="54BA029F"/>
    <w:rsid w:val="55436523"/>
    <w:rsid w:val="563C5184"/>
    <w:rsid w:val="565631F5"/>
    <w:rsid w:val="56C44CD3"/>
    <w:rsid w:val="56F54050"/>
    <w:rsid w:val="57C77B72"/>
    <w:rsid w:val="581B09AF"/>
    <w:rsid w:val="589F3533"/>
    <w:rsid w:val="593261D2"/>
    <w:rsid w:val="595A6E9E"/>
    <w:rsid w:val="597F4D0D"/>
    <w:rsid w:val="5A8F1C82"/>
    <w:rsid w:val="5AA04D8D"/>
    <w:rsid w:val="5AFF5DE6"/>
    <w:rsid w:val="5B4026E8"/>
    <w:rsid w:val="5B482E24"/>
    <w:rsid w:val="5BCF3341"/>
    <w:rsid w:val="5D3B0C0A"/>
    <w:rsid w:val="5D5C7688"/>
    <w:rsid w:val="5DC22EF4"/>
    <w:rsid w:val="5E0F3740"/>
    <w:rsid w:val="5E336F39"/>
    <w:rsid w:val="5E4C0B3C"/>
    <w:rsid w:val="605035BB"/>
    <w:rsid w:val="60725683"/>
    <w:rsid w:val="608E2F6C"/>
    <w:rsid w:val="61000BA4"/>
    <w:rsid w:val="61CA4F75"/>
    <w:rsid w:val="63654AB7"/>
    <w:rsid w:val="637947A5"/>
    <w:rsid w:val="63D0005D"/>
    <w:rsid w:val="64B7605C"/>
    <w:rsid w:val="652B096E"/>
    <w:rsid w:val="66321E1B"/>
    <w:rsid w:val="66E16576"/>
    <w:rsid w:val="66E33C2D"/>
    <w:rsid w:val="6782601A"/>
    <w:rsid w:val="68233C28"/>
    <w:rsid w:val="68B21D3D"/>
    <w:rsid w:val="692A17F3"/>
    <w:rsid w:val="6A275B94"/>
    <w:rsid w:val="6A2E4954"/>
    <w:rsid w:val="6AC9421D"/>
    <w:rsid w:val="6AD94F47"/>
    <w:rsid w:val="6CDA49A3"/>
    <w:rsid w:val="6CF36133"/>
    <w:rsid w:val="6D527975"/>
    <w:rsid w:val="6DD1076A"/>
    <w:rsid w:val="6DDE3DAF"/>
    <w:rsid w:val="6E1735DC"/>
    <w:rsid w:val="6E4C4889"/>
    <w:rsid w:val="6F202513"/>
    <w:rsid w:val="6F56018E"/>
    <w:rsid w:val="704E640D"/>
    <w:rsid w:val="70E13200"/>
    <w:rsid w:val="715F4C2D"/>
    <w:rsid w:val="71BA5711"/>
    <w:rsid w:val="723903A4"/>
    <w:rsid w:val="724530CF"/>
    <w:rsid w:val="72CB7F46"/>
    <w:rsid w:val="73121CB7"/>
    <w:rsid w:val="745C121D"/>
    <w:rsid w:val="7469169F"/>
    <w:rsid w:val="755C4C37"/>
    <w:rsid w:val="76177317"/>
    <w:rsid w:val="761A2E8D"/>
    <w:rsid w:val="76470FAF"/>
    <w:rsid w:val="768D7CD7"/>
    <w:rsid w:val="76C55F0D"/>
    <w:rsid w:val="77346739"/>
    <w:rsid w:val="776C25E5"/>
    <w:rsid w:val="77B7237F"/>
    <w:rsid w:val="78271104"/>
    <w:rsid w:val="784B7472"/>
    <w:rsid w:val="791F75BF"/>
    <w:rsid w:val="792E6792"/>
    <w:rsid w:val="7962750F"/>
    <w:rsid w:val="796B0021"/>
    <w:rsid w:val="797218E2"/>
    <w:rsid w:val="7AB05BBC"/>
    <w:rsid w:val="7AB94AC3"/>
    <w:rsid w:val="7AE36910"/>
    <w:rsid w:val="7BED6658"/>
    <w:rsid w:val="7BF8597E"/>
    <w:rsid w:val="7C14711B"/>
    <w:rsid w:val="7C312516"/>
    <w:rsid w:val="7C45431D"/>
    <w:rsid w:val="7C4A144B"/>
    <w:rsid w:val="7C963B24"/>
    <w:rsid w:val="7C971D21"/>
    <w:rsid w:val="7D386884"/>
    <w:rsid w:val="7D4C1C46"/>
    <w:rsid w:val="7DDD0501"/>
    <w:rsid w:val="7E2653BA"/>
    <w:rsid w:val="7E2B63E7"/>
    <w:rsid w:val="7E8B79FF"/>
    <w:rsid w:val="7E935AFB"/>
    <w:rsid w:val="7EC65AAB"/>
    <w:rsid w:val="7F082AC1"/>
    <w:rsid w:val="7F4610EC"/>
    <w:rsid w:val="7F50759A"/>
    <w:rsid w:val="7F732F5C"/>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3"/>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4"/>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1"/>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5"/>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1"/>
    <w:semiHidden/>
    <w:unhideWhenUsed/>
    <w:qFormat/>
    <w:uiPriority w:val="99"/>
    <w:rPr>
      <w:rFonts w:ascii="宋体" w:eastAsia="宋体"/>
      <w:sz w:val="18"/>
      <w:szCs w:val="18"/>
    </w:rPr>
  </w:style>
  <w:style w:type="paragraph" w:styleId="8">
    <w:name w:val="annotation text"/>
    <w:basedOn w:val="1"/>
    <w:link w:val="54"/>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8"/>
    <w:semiHidden/>
    <w:unhideWhenUsed/>
    <w:qFormat/>
    <w:uiPriority w:val="99"/>
    <w:pPr>
      <w:ind w:left="100" w:leftChars="2500"/>
    </w:pPr>
  </w:style>
  <w:style w:type="paragraph" w:styleId="12">
    <w:name w:val="Balloon Text"/>
    <w:basedOn w:val="1"/>
    <w:link w:val="29"/>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5"/>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Emphasis"/>
    <w:qFormat/>
    <w:uiPriority w:val="20"/>
    <w:rPr>
      <w:i/>
      <w:iCs/>
    </w:rPr>
  </w:style>
  <w:style w:type="character" w:styleId="21">
    <w:name w:val="Hyperlink"/>
    <w:qFormat/>
    <w:uiPriority w:val="99"/>
    <w:rPr>
      <w:color w:val="0000FF"/>
      <w:u w:val="single"/>
    </w:rPr>
  </w:style>
  <w:style w:type="character" w:styleId="22">
    <w:name w:val="annotation reference"/>
    <w:basedOn w:val="19"/>
    <w:semiHidden/>
    <w:unhideWhenUsed/>
    <w:qFormat/>
    <w:uiPriority w:val="99"/>
    <w:rPr>
      <w:sz w:val="16"/>
      <w:szCs w:val="16"/>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character" w:customStyle="1" w:styleId="29">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文档结构图 Char"/>
    <w:link w:val="7"/>
    <w:semiHidden/>
    <w:qFormat/>
    <w:uiPriority w:val="99"/>
    <w:rPr>
      <w:rFonts w:ascii="宋体" w:hAnsi="Times New Roman"/>
      <w:sz w:val="18"/>
      <w:szCs w:val="18"/>
      <w:lang w:eastAsia="en-US"/>
    </w:rPr>
  </w:style>
  <w:style w:type="paragraph" w:customStyle="1" w:styleId="32">
    <w:name w:val="B1"/>
    <w:basedOn w:val="10"/>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jc w:val="center"/>
    </w:pPr>
    <w:rPr>
      <w:lang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6"/>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列出段落 Char"/>
    <w:link w:val="30"/>
    <w:qFormat/>
    <w:uiPriority w:val="34"/>
    <w:rPr>
      <w:kern w:val="2"/>
      <w:sz w:val="21"/>
      <w:szCs w:val="22"/>
    </w:rPr>
  </w:style>
  <w:style w:type="character" w:customStyle="1" w:styleId="47">
    <w:name w:val="ZGSM"/>
    <w:qFormat/>
    <w:uiPriority w:val="0"/>
  </w:style>
  <w:style w:type="character" w:customStyle="1" w:styleId="48">
    <w:name w:val="日期 Char"/>
    <w:link w:val="11"/>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标题 3 Char"/>
    <w:link w:val="5"/>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4">
    <w:name w:val="批注文字 Char"/>
    <w:basedOn w:val="19"/>
    <w:link w:val="8"/>
    <w:semiHidden/>
    <w:qFormat/>
    <w:uiPriority w:val="99"/>
    <w:rPr>
      <w:rFonts w:ascii="Times New Roman" w:hAnsi="Times New Roman" w:eastAsia="Times New Roman"/>
      <w:lang w:eastAsia="en-US"/>
    </w:rPr>
  </w:style>
  <w:style w:type="character" w:customStyle="1" w:styleId="55">
    <w:name w:val="批注主题 Char"/>
    <w:basedOn w:val="54"/>
    <w:link w:val="16"/>
    <w:semiHidden/>
    <w:qFormat/>
    <w:uiPriority w:val="99"/>
    <w:rPr>
      <w:rFonts w:ascii="Times New Roman" w:hAnsi="Times New Roman" w:eastAsia="Times New Roman"/>
      <w:b/>
      <w:bCs/>
      <w:lang w:eastAsia="en-US"/>
    </w:rPr>
  </w:style>
  <w:style w:type="paragraph" w:customStyle="1" w:styleId="56">
    <w:name w:val="Proposal1"/>
    <w:basedOn w:val="1"/>
    <w:qFormat/>
    <w:uiPriority w:val="0"/>
    <w:pPr>
      <w:tabs>
        <w:tab w:val="left" w:pos="1276"/>
      </w:tabs>
      <w:ind w:left="1276" w:hanging="1276"/>
    </w:pPr>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391</Words>
  <Characters>2235</Characters>
  <Lines>18</Lines>
  <Paragraphs>5</Paragraphs>
  <TotalTime>8</TotalTime>
  <ScaleCrop>false</ScaleCrop>
  <LinksUpToDate>false</LinksUpToDate>
  <CharactersWithSpaces>2621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2021-08-06T13:08:09Z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